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proofErr w:type="gramStart"/>
      <w:r>
        <w:rPr>
          <w:rFonts w:ascii="Times New Roman" w:hAnsi="Times New Roman"/>
          <w:b/>
        </w:rPr>
        <w:t>к</w:t>
      </w:r>
      <w:proofErr w:type="gramEnd"/>
      <w:r>
        <w:rPr>
          <w:rFonts w:ascii="Times New Roman" w:hAnsi="Times New Roman"/>
          <w:b/>
        </w:rPr>
        <w:t xml:space="preserve">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  <w:r w:rsidR="001C476D">
        <w:rPr>
          <w:rFonts w:ascii="Times New Roman" w:hAnsi="Times New Roman"/>
          <w:b/>
        </w:rPr>
        <w:t xml:space="preserve"> на 201</w:t>
      </w:r>
      <w:r w:rsidR="0034242F">
        <w:rPr>
          <w:rFonts w:ascii="Times New Roman" w:hAnsi="Times New Roman"/>
          <w:b/>
        </w:rPr>
        <w:t>7</w:t>
      </w:r>
      <w:bookmarkStart w:id="0" w:name="_GoBack"/>
      <w:bookmarkEnd w:id="0"/>
      <w:r w:rsidR="001C476D">
        <w:rPr>
          <w:rFonts w:ascii="Times New Roman" w:hAnsi="Times New Roman"/>
          <w:b/>
        </w:rPr>
        <w:t xml:space="preserve"> год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6D25DC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Сеть газораспределения </w:t>
            </w:r>
            <w:r w:rsidR="00E50233">
              <w:rPr>
                <w:rFonts w:ascii="Times New Roman" w:hAnsi="Times New Roman"/>
                <w:sz w:val="20"/>
              </w:rPr>
              <w:t>с. Новозаведенного и х. Андреевский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Ростехнадзора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 от 15.11.2013 N 542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и соответствовать проекту газоснабжения. Также должны быть выполнены и соблюдены </w:t>
            </w:r>
            <w:proofErr w:type="gramStart"/>
            <w:r w:rsidRPr="002D78F3">
              <w:rPr>
                <w:rFonts w:ascii="Times New Roman" w:hAnsi="Times New Roman"/>
                <w:color w:val="010000"/>
                <w:sz w:val="20"/>
              </w:rPr>
              <w:t>все  требования</w:t>
            </w:r>
            <w:proofErr w:type="gram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С, давление101,325 кПа (760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мм.рт.ст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газопотребляющих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выполнять техническое обслуживание и ремонт, обеспечивающие исправное и безопасное состояние систем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предоставлять от специализированной организации акты об исправности вентиляционных и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дымоотводящих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сводными актами поданного-принятого газа, подписанными Поставщиком и Сторонами. Указанные сводные акты поданного-принятого газа 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Покупатели услуг транспортировки газа, финансируемые из бюджетов всех уровней, производят расчеты за стоимость услуг по 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lastRenderedPageBreak/>
              <w:t>7. Справку Банка о банковских реквизитах предприятия для указания расчетных счетов в 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 xml:space="preserve">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6A" w:rsidRDefault="00192C6A" w:rsidP="00DF616D">
      <w:r>
        <w:separator/>
      </w:r>
    </w:p>
  </w:endnote>
  <w:endnote w:type="continuationSeparator" w:id="0">
    <w:p w:rsidR="00192C6A" w:rsidRDefault="00192C6A" w:rsidP="00D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6A" w:rsidRDefault="00192C6A" w:rsidP="00DF616D">
      <w:r>
        <w:separator/>
      </w:r>
    </w:p>
  </w:footnote>
  <w:footnote w:type="continuationSeparator" w:id="0">
    <w:p w:rsidR="00192C6A" w:rsidRDefault="00192C6A" w:rsidP="00D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6D"/>
    <w:rsid w:val="000D30AC"/>
    <w:rsid w:val="001337BF"/>
    <w:rsid w:val="00192C6A"/>
    <w:rsid w:val="001C476D"/>
    <w:rsid w:val="002D78F3"/>
    <w:rsid w:val="0034242F"/>
    <w:rsid w:val="003455F2"/>
    <w:rsid w:val="003A642F"/>
    <w:rsid w:val="004B3D2B"/>
    <w:rsid w:val="004E4CAC"/>
    <w:rsid w:val="006D25DC"/>
    <w:rsid w:val="00784FC7"/>
    <w:rsid w:val="00915351"/>
    <w:rsid w:val="00BB7EAC"/>
    <w:rsid w:val="00D55112"/>
    <w:rsid w:val="00DF616D"/>
    <w:rsid w:val="00E50233"/>
    <w:rsid w:val="00E528C5"/>
    <w:rsid w:val="00F06305"/>
    <w:rsid w:val="00F3665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9710-2915-4621-B620-D2AFE45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E33A-378E-4B59-9B0E-250C4EC8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12</cp:revision>
  <dcterms:created xsi:type="dcterms:W3CDTF">2015-01-21T14:03:00Z</dcterms:created>
  <dcterms:modified xsi:type="dcterms:W3CDTF">2017-01-23T09:12:00Z</dcterms:modified>
</cp:coreProperties>
</file>